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2.0" w:type="dxa"/>
        <w:jc w:val="left"/>
        <w:tblInd w:w="-108.0" w:type="dxa"/>
        <w:tblBorders>
          <w:top w:color="00000a" w:space="0" w:sz="4" w:val="single"/>
          <w:left w:color="00000a" w:space="0" w:sz="4" w:val="single"/>
          <w:bottom w:color="000001" w:space="0" w:sz="4" w:val="single"/>
          <w:right w:color="00000a" w:space="0" w:sz="4" w:val="single"/>
          <w:insideH w:color="000001" w:space="0" w:sz="4" w:val="single"/>
          <w:insideV w:color="00000a" w:space="0" w:sz="4" w:val="single"/>
        </w:tblBorders>
        <w:tblLayout w:type="fixed"/>
        <w:tblLook w:val="0000"/>
      </w:tblPr>
      <w:tblGrid>
        <w:gridCol w:w="4811"/>
        <w:gridCol w:w="4811"/>
        <w:tblGridChange w:id="0">
          <w:tblGrid>
            <w:gridCol w:w="4811"/>
            <w:gridCol w:w="4811"/>
          </w:tblGrid>
        </w:tblGridChange>
      </w:tblGrid>
      <w:tr>
        <w:trPr>
          <w:trHeight w:val="396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UNITA' DI APPRENDIMENTO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1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a.s. 2020/21</w:t>
            </w:r>
          </w:p>
        </w:tc>
      </w:tr>
      <w:tr>
        <w:trPr>
          <w:trHeight w:val="458" w:hRule="atLeast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Titolo Uda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L’impresa sportiva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UDA  interdisciplinare</w:t>
            </w:r>
          </w:p>
        </w:tc>
      </w:tr>
      <w:tr>
        <w:tc>
          <w:tcPr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Contestualizzazione</w:t>
            </w:r>
          </w:p>
        </w:tc>
        <w:tc>
          <w:tcPr>
            <w:tcBorders>
              <w:top w:color="000001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Marzo-aprile-maggio 2021</w:t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Destinatari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classe seconda</w:t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Monte ore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35 ore</w:t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Situazione/ problema/tema di riferimento dell’UDA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Analisi “multidisciplinare” di una impresa sportiva  madrina  del territorio</w:t>
            </w:r>
          </w:p>
        </w:tc>
      </w:tr>
      <w:t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Prodotto/prodotti da realizzare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Simulazione di un sito aziendale o power point</w:t>
            </w:r>
          </w:p>
        </w:tc>
      </w:tr>
      <w:tr>
        <w:trPr>
          <w:trHeight w:val="1528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0"/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Competenze target e Saperi essenziali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widowControl w:val="0"/>
              <w:spacing w:after="240" w:before="0" w:lineRule="auto"/>
              <w:jc w:val="both"/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u w:val="single"/>
                <w:rtl w:val="0"/>
              </w:rPr>
              <w:t xml:space="preserve">COMPETENZA AREA GENERALE (Allegato 1)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4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Individuare e utilizzare le moderne forme della comunicazione visiva e multimediale anche con riferimento alle strategie espressive e agli strumenti tecnici della comunicazione in rete.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40" w:before="0" w:lineRule="auto"/>
              <w:jc w:val="both"/>
              <w:rPr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u w:val="single"/>
                <w:rtl w:val="0"/>
              </w:rPr>
              <w:t xml:space="preserve">asse linguaggi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4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  <w:p w:rsidR="00000000" w:rsidDel="00000000" w:rsidP="00000000" w:rsidRDefault="00000000" w:rsidRPr="00000000" w14:paraId="0000001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-Reperire informazioni e documenti in italiano o in lingua straniera sul web valutando l’attendibilità delle fonti.</w:t>
            </w:r>
          </w:p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-Ideare e realizzare semplici testi multimediali in italiano o in lingua straniera su tematiche culturali, di studio e professionali.</w:t>
            </w:r>
          </w:p>
          <w:p w:rsidR="00000000" w:rsidDel="00000000" w:rsidP="00000000" w:rsidRDefault="00000000" w:rsidRPr="00000000" w14:paraId="0000001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-Utilizzare le tecnologie digitali per la presentazione di un progetto o di un prodotto in italiano o in lingua straniera.</w:t>
            </w:r>
          </w:p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 Scegliere la forma multimediale più adatta alla comunicazione in italiano o in lingua straniera nell’ambito professionale di riferimento in relazione agli interlocutori e agli scopi.</w:t>
            </w:r>
          </w:p>
          <w:p w:rsidR="00000000" w:rsidDel="00000000" w:rsidP="00000000" w:rsidRDefault="00000000" w:rsidRPr="00000000" w14:paraId="0000001A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  <w:p w:rsidR="00000000" w:rsidDel="00000000" w:rsidP="00000000" w:rsidRDefault="00000000" w:rsidRPr="00000000" w14:paraId="0000001C">
            <w:pPr>
              <w:rPr/>
            </w:pPr>
            <w:bookmarkStart w:colFirst="0" w:colLast="0" w:name="_30j0zll" w:id="1"/>
            <w:bookmarkEnd w:id="1"/>
            <w:r w:rsidDel="00000000" w:rsidR="00000000" w:rsidRPr="00000000">
              <w:rPr>
                <w:rtl w:val="0"/>
              </w:rPr>
              <w:t xml:space="preserve">Caratteri comunicativi di un testo multimediale</w:t>
            </w:r>
          </w:p>
          <w:p w:rsidR="00000000" w:rsidDel="00000000" w:rsidP="00000000" w:rsidRDefault="00000000" w:rsidRPr="00000000" w14:paraId="0000001D">
            <w:pPr>
              <w:rPr/>
            </w:pPr>
            <w:bookmarkStart w:colFirst="0" w:colLast="0" w:name="_1fob9te" w:id="2"/>
            <w:bookmarkEnd w:id="2"/>
            <w:r w:rsidDel="00000000" w:rsidR="00000000" w:rsidRPr="00000000">
              <w:rPr>
                <w:rtl w:val="0"/>
              </w:rPr>
              <w:t xml:space="preserve">Applicazioni di scrittura, calcolo, grafica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asse matematico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abilità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Raccogliere, organizzare, rappresentare e trasmettere informazioni</w:t>
            </w:r>
          </w:p>
          <w:p w:rsidR="00000000" w:rsidDel="00000000" w:rsidP="00000000" w:rsidRDefault="00000000" w:rsidRPr="00000000" w14:paraId="00000024">
            <w:pPr>
              <w:rPr/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conoscenze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Utilizzare applicazioni di calcolo e grafica</w:t>
            </w:r>
          </w:p>
          <w:p w:rsidR="00000000" w:rsidDel="00000000" w:rsidP="00000000" w:rsidRDefault="00000000" w:rsidRPr="00000000" w14:paraId="00000027">
            <w:pPr>
              <w:rPr/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COMPETENZA AREA PROFESSIONALE N. 1 (allegato 2f)</w:t>
            </w:r>
          </w:p>
          <w:p w:rsidR="00000000" w:rsidDel="00000000" w:rsidP="00000000" w:rsidRDefault="00000000" w:rsidRPr="00000000" w14:paraId="0000002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Interagire nei sistemi aziendali o laboratoriali riconoscendone i diversi modelli organizzativi, le diverse forme giuridiche con cui viene svolta l’attività e le modalità di trasmissione dei flussi informativi, collaborando alla stesura di documenti di rilevanza interna ed esterna e all’esecuzione degli adempimenti civilistici e fiscali ricorrenti.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 Abilità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after="24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-Interpretare un organigramma - Identificare le modalità di trasmissione dei flussi informativi nell’organizzazione -Identificare e applicare i profili normativi e di responsabilità legati alle diverse forme giuridiche di impresa</w:t>
            </w:r>
          </w:p>
          <w:p w:rsidR="00000000" w:rsidDel="00000000" w:rsidP="00000000" w:rsidRDefault="00000000" w:rsidRPr="00000000" w14:paraId="0000002C">
            <w:pPr>
              <w:widowControl w:val="0"/>
              <w:spacing w:after="240" w:before="0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Conoscenze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-Principi di organizzazione di una impresa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-Forme giuridiche per l’esercizio dell’attività d’impresa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 -Elementi di gestione d’impresa</w:t>
            </w:r>
          </w:p>
        </w:tc>
      </w:tr>
      <w:tr>
        <w:trPr>
          <w:trHeight w:val="264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widowControl w:val="0"/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Insegnamenti coinvolti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widowControl w:val="0"/>
              <w:spacing w:after="240" w:before="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Italiano, geografia, inglese, Informatica,   materie professionali, matematica</w:t>
            </w:r>
          </w:p>
        </w:tc>
      </w:tr>
      <w:tr>
        <w:trPr>
          <w:trHeight w:val="264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widowControl w:val="0"/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Attività degli studenti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Il Coordinatore illustra alla classe le fasi in cui sarà suddiviso il percorso e gli insegnamenti coinvolti</w:t>
            </w:r>
          </w:p>
          <w:p w:rsidR="00000000" w:rsidDel="00000000" w:rsidP="00000000" w:rsidRDefault="00000000" w:rsidRPr="00000000" w14:paraId="0000003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1: Analisi del territorio dell’impresa, aspetti storico geografici e economici</w:t>
            </w:r>
          </w:p>
          <w:p w:rsidR="00000000" w:rsidDel="00000000" w:rsidP="00000000" w:rsidRDefault="00000000" w:rsidRPr="00000000" w14:paraId="0000003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2: Analisi del sito di una azienda del territorio e individuazione degli elementi costitutivi, lettura dell'organigramma aziendale e individuazione delle funzioni e ruoli.</w:t>
            </w:r>
          </w:p>
          <w:p w:rsidR="00000000" w:rsidDel="00000000" w:rsidP="00000000" w:rsidRDefault="00000000" w:rsidRPr="00000000" w14:paraId="0000003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3: l'azienda nel diritto (analisi del sito azienda madrina)</w:t>
            </w:r>
          </w:p>
          <w:p w:rsidR="00000000" w:rsidDel="00000000" w:rsidP="00000000" w:rsidRDefault="00000000" w:rsidRPr="00000000" w14:paraId="0000003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4: analisi del sito web di un'azienda del territorio in lingua inglese </w:t>
            </w:r>
          </w:p>
          <w:p w:rsidR="00000000" w:rsidDel="00000000" w:rsidP="00000000" w:rsidRDefault="00000000" w:rsidRPr="00000000" w14:paraId="00000038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5: raccolta, elaborazione e rappresentazione di dati rilevati attraverso la somministrazione di un questionario predefinito relativo alla conoscenza dei prodotti dell'azienda o laboratorio madrina e non in report e tabelle; organizzazione dei dati numerici attraverso frequenze assolute, relative e percentuale; rappresentazione mediante istogrammi e diagramma a torte (matematica)</w:t>
            </w:r>
          </w:p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6: rappresentazione grafica in excel dei dati statistici elaborati in matematica</w:t>
            </w:r>
          </w:p>
          <w:p w:rsidR="00000000" w:rsidDel="00000000" w:rsidP="00000000" w:rsidRDefault="00000000" w:rsidRPr="00000000" w14:paraId="0000003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7: analisi del sito web dell'”azienda madrina” dal punto di vista dei contenuti e osservazione delle parole chiave</w:t>
            </w:r>
          </w:p>
          <w:p w:rsidR="00000000" w:rsidDel="00000000" w:rsidP="00000000" w:rsidRDefault="00000000" w:rsidRPr="00000000" w14:paraId="0000003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8: elaborazione in power point del lancio pubblicitario di un prodotto</w:t>
            </w:r>
          </w:p>
          <w:p w:rsidR="00000000" w:rsidDel="00000000" w:rsidP="00000000" w:rsidRDefault="00000000" w:rsidRPr="00000000" w14:paraId="0000003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fase 9: simulazione di un sito web di un'azienda o laboratorio</w:t>
            </w:r>
          </w:p>
        </w:tc>
      </w:tr>
      <w:tr>
        <w:trPr>
          <w:trHeight w:val="717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widowControl w:val="0"/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Attività di accompagnamento dei docenti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Lezioni frontali e dialogate</w:t>
            </w:r>
          </w:p>
          <w:p w:rsidR="00000000" w:rsidDel="00000000" w:rsidP="00000000" w:rsidRDefault="00000000" w:rsidRPr="00000000" w14:paraId="0000003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lezioni laboratoriali</w:t>
            </w:r>
          </w:p>
          <w:p w:rsidR="00000000" w:rsidDel="00000000" w:rsidP="00000000" w:rsidRDefault="00000000" w:rsidRPr="00000000" w14:paraId="00000040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lavori di gruppi</w:t>
            </w:r>
          </w:p>
        </w:tc>
      </w:tr>
      <w:tr>
        <w:trPr>
          <w:trHeight w:val="560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widowControl w:val="0"/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Prodotti/realizzazioni in esito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Opuscolo informativo </w:t>
            </w:r>
          </w:p>
          <w:p w:rsidR="00000000" w:rsidDel="00000000" w:rsidP="00000000" w:rsidRDefault="00000000" w:rsidRPr="00000000" w14:paraId="0000004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Scheda rilevazione dati </w:t>
            </w:r>
          </w:p>
          <w:p w:rsidR="00000000" w:rsidDel="00000000" w:rsidP="00000000" w:rsidRDefault="00000000" w:rsidRPr="00000000" w14:paraId="0000004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Statistiche e report indagine</w:t>
            </w:r>
          </w:p>
          <w:p w:rsidR="00000000" w:rsidDel="00000000" w:rsidP="00000000" w:rsidRDefault="00000000" w:rsidRPr="00000000" w14:paraId="00000045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glossario in lingua inglese</w:t>
            </w:r>
          </w:p>
          <w:p w:rsidR="00000000" w:rsidDel="00000000" w:rsidP="00000000" w:rsidRDefault="00000000" w:rsidRPr="00000000" w14:paraId="00000046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Power point lancio prodotto</w:t>
            </w:r>
          </w:p>
          <w:p w:rsidR="00000000" w:rsidDel="00000000" w:rsidP="00000000" w:rsidRDefault="00000000" w:rsidRPr="00000000" w14:paraId="0000004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Simulazione di un Sito web </w:t>
            </w:r>
          </w:p>
        </w:tc>
      </w:tr>
      <w:tr>
        <w:trPr>
          <w:trHeight w:val="681" w:hRule="atLeast"/>
        </w:trPr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after="240" w:before="0" w:lineRule="auto"/>
              <w:rPr/>
            </w:pPr>
            <w:r w:rsidDel="00000000" w:rsidR="00000000" w:rsidRPr="00000000">
              <w:rPr>
                <w:rtl w:val="0"/>
              </w:rPr>
              <w:t xml:space="preserve">Criteri per la certificazione dei risultati di apprendimento</w:t>
            </w:r>
          </w:p>
        </w:tc>
        <w:tc>
          <w:tcPr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Vedi griglia di valutazione dell'unità di apprendimento dei prodotti finiti</w:t>
            </w:r>
          </w:p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DIAGRAMMA DI GANTT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1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523"/>
        <w:gridCol w:w="1512"/>
        <w:gridCol w:w="1465"/>
        <w:gridCol w:w="1408"/>
        <w:gridCol w:w="1465"/>
        <w:gridCol w:w="1639"/>
        <w:tblGridChange w:id="0">
          <w:tblGrid>
            <w:gridCol w:w="1523"/>
            <w:gridCol w:w="1512"/>
            <w:gridCol w:w="1465"/>
            <w:gridCol w:w="1408"/>
            <w:gridCol w:w="1465"/>
            <w:gridCol w:w="1639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1^settimana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2^settimana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3^settimana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4^settimana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5^settimana</w:t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99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99" w:val="clea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 professionale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00cc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00cc" w:val="clea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00cc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00cc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Diritto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ccff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ccff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ccff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00ccff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Inglese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3333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3300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ff66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00ff66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Italiano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ff00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Ita (sito)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9900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2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